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 w:rsidP="006E1B77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6E1B77" w:rsidP="006E1B77">
      <w:pPr>
        <w:pStyle w:val="a8"/>
        <w:ind w:left="0" w:firstLine="0"/>
        <w:contextualSpacing/>
        <w:jc w:val="center"/>
        <w:rPr>
          <w:sz w:val="30"/>
        </w:rPr>
      </w:pPr>
      <w:r>
        <w:rPr>
          <w:b/>
          <w:bCs/>
        </w:rPr>
        <w:t>МКОУ «РАХАТИНСКАЯ СОШ»</w:t>
      </w:r>
    </w:p>
    <w:p w:rsidR="00F75F8E" w:rsidRDefault="00F75F8E" w:rsidP="006E1B77">
      <w:pPr>
        <w:pStyle w:val="a8"/>
        <w:ind w:left="0" w:firstLine="0"/>
        <w:contextualSpacing/>
        <w:jc w:val="center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 w:rsidP="006E1B77">
      <w:pPr>
        <w:pStyle w:val="a8"/>
        <w:ind w:left="0" w:firstLine="0"/>
        <w:contextualSpacing/>
      </w:pP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410A8A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 xml:space="preserve">Настоящие методические рекомендации разработаны Министерством образования и науки Республики Дагестан </w:t>
      </w:r>
      <w:bookmarkStart w:id="1" w:name="_GoBack"/>
      <w:bookmarkEnd w:id="1"/>
      <w:r>
        <w:t>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образованием (далее – МОУО). МОУО разрабатывают муниципальные планы </w:t>
      </w:r>
      <w:r>
        <w:lastRenderedPageBreak/>
        <w:t>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реализации образовательных программ или их частей с применением </w:t>
      </w:r>
      <w:r>
        <w:lastRenderedPageBreak/>
        <w:t>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</w:t>
      </w:r>
      <w:r>
        <w:rPr>
          <w:sz w:val="28"/>
        </w:rPr>
        <w:lastRenderedPageBreak/>
        <w:t>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 xml:space="preserve">3.11. прописывает к каждой теме урока задания для самостоятельной работы </w:t>
      </w:r>
      <w:r>
        <w:rPr>
          <w:sz w:val="28"/>
          <w:szCs w:val="28"/>
        </w:rPr>
        <w:lastRenderedPageBreak/>
        <w:t>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lastRenderedPageBreak/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 xml:space="preserve">ПЕРЕХОДЕ НА </w:t>
      </w:r>
      <w:r>
        <w:rPr>
          <w:w w:val="105"/>
        </w:rPr>
        <w:lastRenderedPageBreak/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410A8A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9E8" w:rsidRDefault="000329E8" w:rsidP="00F75F8E">
      <w:r>
        <w:separator/>
      </w:r>
    </w:p>
  </w:endnote>
  <w:endnote w:type="continuationSeparator" w:id="0">
    <w:p w:rsidR="000329E8" w:rsidRDefault="000329E8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10A8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6E1B7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10A8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25F52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10A8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25F52">
      <w:rPr>
        <w:noProof/>
        <w:sz w:val="24"/>
        <w:szCs w:val="24"/>
      </w:rPr>
      <w:t>35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10A8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25F52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10A8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25F52">
      <w:rPr>
        <w:noProof/>
        <w:sz w:val="24"/>
        <w:szCs w:val="24"/>
      </w:rPr>
      <w:t>43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1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10A8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25F52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10A8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25F52">
      <w:rPr>
        <w:noProof/>
        <w:sz w:val="24"/>
        <w:szCs w:val="24"/>
      </w:rPr>
      <w:t>11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10A8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25F52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10A8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25F52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10A8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25F52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10A8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25F52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410A8A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B25F52">
      <w:rPr>
        <w:noProof/>
        <w:sz w:val="24"/>
        <w:szCs w:val="24"/>
      </w:rPr>
      <w:t>18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9E8" w:rsidRDefault="000329E8" w:rsidP="00F75F8E">
      <w:r>
        <w:separator/>
      </w:r>
    </w:p>
  </w:footnote>
  <w:footnote w:type="continuationSeparator" w:id="0">
    <w:p w:rsidR="000329E8" w:rsidRDefault="000329E8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329E8"/>
    <w:rsid w:val="00090131"/>
    <w:rsid w:val="00410A8A"/>
    <w:rsid w:val="006E1B77"/>
    <w:rsid w:val="0070139C"/>
    <w:rsid w:val="00AC00E4"/>
    <w:rsid w:val="00B25F52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10424</Words>
  <Characters>59419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Machine</cp:lastModifiedBy>
  <cp:revision>2</cp:revision>
  <dcterms:created xsi:type="dcterms:W3CDTF">2020-06-12T14:21:00Z</dcterms:created>
  <dcterms:modified xsi:type="dcterms:W3CDTF">2020-06-12T14:21:00Z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